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Bardzo Młoda Kultura 2023-2025 –Województwo Zachodniopomorskie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ambria" w:cs="Cambria" w:eastAsia="Cambria" w:hAnsi="Cambria"/>
          <w:b w:val="1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Wykaz kosztów kwalifikowanych 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Cambria" w:cs="Cambria" w:eastAsia="Cambria" w:hAnsi="Cambri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mbria" w:cs="Cambria" w:eastAsia="Cambria" w:hAnsi="Cambria"/>
          <w:b w:val="1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Wykaz kosztów kwalifikowanych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ZASADY OGÓLNE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Partnerzy lokalni zobowiązany jest do wydatkowania środków publicznych związanych z realizacją inicjatywy w sposób celowy i oszczędny, z zachowaniem zasady uzyskiwania najlepszych efektów z danych nakładów oraz optymalnego doboru metod i środków służących osiągnięciu założonych celów przy zachowaniu 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rtl w:val="0"/>
        </w:rPr>
        <w:t xml:space="preserve">zasady uczciwej konkurencji, równego traktowania wykonawców, bezstronności i obiektywizmu.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Zakupy usług i materiałów płatne gotówkowo (w tym artykuły spożywcze, materiały na warsztaty, etc) które nie wymagają zawarcia umów cywilno-prawnych,  rozliczane będą na podstawie prawidłowo wystawionych faktur, rachunków lub paragonów z NIP-em, których odbiorcą i nabywcą będzie Organizator (Goleniowski Dom Kultury, ul. Słowackiego 1; 72-100 Goleniów; NIP 856 14 34 875 ). 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 przypadku zakupu usług i materiałów przez Internet Lider zobowiązany jest do  pobrania dowodów  księgowych, których odbiorcą i nabywcą będzie Organizator (Goleniowski Dom Kultury, ul. Słowackiego 1; 72-100 Goleniów; NIP 856 14 34 875) w formie faktury pro forma lub faktury z odroczonym terminem płatności i niezwłocznym przekazaniu ich Organizatorowi na adres ksie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gowosc@gdk.goleniow.pl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w tytule wpisując nazwę Inicjatywy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 przypadku, gdy jeden z Partnerów Lokalnym posiada nr podatkowy NIP, może on wystawić ogólną FV na poniesione koszty, po realizacji Inicjatywy i złożeniu sprawozdania.</w:t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Wszystkie koszty związane z realizacją inicjatywy muszą być poniesione w okresie kwalifikowalności wydatków, tj. w trakcie jej realizacji, nie później niż do 15.10.2023.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Ind w:w="-12.000000000000002" w:type="dxa"/>
        <w:tblLayout w:type="fixed"/>
        <w:tblLook w:val="0400"/>
      </w:tblPr>
      <w:tblGrid>
        <w:gridCol w:w="4690"/>
        <w:gridCol w:w="4820"/>
        <w:tblGridChange w:id="0">
          <w:tblGrid>
            <w:gridCol w:w="4690"/>
            <w:gridCol w:w="482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Rodzaj kosztu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Uwagi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1. Honoraria/wynagrodzenia za działania merytoryczne i obsługę zadania: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Koszty finansowane w oparciu o zawarte z wykonawcą przez Organizatora: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twórców, artystów, instruktorów, prowadzących warsztaty,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      umowy zlecenia/o dzieło wraz z rachunkiem lub innym dokumentem równoważnym;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koordynatora zadania, za obsługę kampanii promocyjnej, redaktorów i autorów tekstów do publikacji towarzyszących, członków jury,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  umowy o pracę wraz z niezbędnym oddelegowaniem lub dodatkowym aneksem zwiększającym wymiar/zakres etatu. 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konferansjerów i osób prowadzących imprezy towarzyszące (np. koncerty, spotkania z artystami),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      umowy wraz z fakturą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tłumaczy, pilotów/przewodników, opiekunów dzieci i/lub osób niepełnosprawnych uczestniczących w zadaniu,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pracowników obsługi technicznej przedsięwzięć w ramach zadania (np. sceny, nagłośnienia, oświetlenia, nagrań, strojenia instrumentów),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osób przygotowujących ewaluację i dokumentację zadania,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2. Koszty związane z dostosowaniem działań i formy przekazu do potrzeb osób niepełnosprawnych.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Z wyłączeniem zakupu sprzętu, wyposażenia i innych środków trwałych oraz prac remontowo budowlanych.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Do tej pozycji kwalifikuje się m.in.: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1) wynajem niezbędnego sprzętu ułatwiającego osobom niepełnosprawnym odbiór dóbr kultury;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2) opłata za specjalistyczną usługę przewodnicką z audiodeskrypcją;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3) przygotowanie i wykonanie ścieżek edukacyjnych dla osób niepełnosprawnych, tyflografik, filmów w PJM/SJM/SKOGN;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4) przystosowanie stron internetowych do potrzeb osób z różnymi rodzajami niepełnosprawności;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5) przygotowanie aplikacji mobilnych.</w:t>
            </w:r>
          </w:p>
        </w:tc>
      </w:tr>
      <w:tr>
        <w:trPr>
          <w:cantSplit w:val="0"/>
          <w:trHeight w:val="17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3. Zakup materiałów (wraz z dostawą) niezbędnych do realizacji zadania (np. materiałów niezbędnych do archiwizacji i dokumentacji: tonery, płyty CD/DVD, materiały biurowe), zajęć warsztatowych oraz przedsięwzięć artystycznych.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wyłączeniem zakupu sprzętu, wyposażenia i innych środków trwałych.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4. Scena i wyposażenie niezbędne do realizacji zadania: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montaż i demontaż/wynajem sceny/powierzchni wystawienniczej na potrzeby zadania,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wynajem niezbędnego sprzętu i wyposażenia (np. instrumenty, nagłośnienie, światło, telebimy, rzutniki).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5. Koszty podróży/transportu: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Honorowanym dokumentem finansowym jest tu m.in.: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uczestników i osób związanych z realizacją zadania,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faktura/rachunek za usługę transportową;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scenografii, instrumentów,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faktura/rachunek za zakup biletów – w przypadku zakupu biletów komunikacji zbiorowej;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elementów wyposażenia technicznego/sceny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umowa użyczenia oraz rozliczenie przebiegu pojazdu (tzw. kilometrówka) – w przypadku prywatnych środków transportu użyczanych do realizacji zadania;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faktura/rachunek za parking;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6. Koszty związane z wydaniem publikacji, nagrań (audio i video), przygotowaniem aplikacji mobilnych, stron internetowych podsumowujących/ towarzyszących, stanowiących część zadania.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Realizacji inicjatyw może towarzyszyć realizacja nagrań audio/video, rejestracja spektakli, opracowanie  publikacji, audiodeskrypcja, przygotowanie filmów w PJM/SJM/SKOGN. Działania te nie mogą być realizowane jako odrębne zadanie/projekt ani stanowić głównego/dominującego elementu zadania. Wykluczona jest odpłatna dystrybucja publikacji/nagrań towarzyszących realizacji zadania/projektu w trakcie i po jego zakończeniu.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W ramach inicjatyw nie jest możliwe finansowanie działań obejmujących część prac nad realizacją publikacji i nagrań, o których mowa w zdaniu poprzednim, w wyniku których w terminie realizacji zadania nie powstanie finalna publikacja.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7. Poligrafia – projekty graficzne i wydruk materiałów promocyjnych, informacyjnych i edukacyjnych, stanowiących część zadania oraz ich dystrybucja.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Realizacji inicjatyw  może towarzyszyć realizacja nagrań audio/video, rejestracja spektakli, opracowanie  publikacji, audiodeskrypcja, przygotowanie filmów w PJM/SJM/SKOGN. Działania te nie mogą być realizowane jako odrębne zadanie/projekt ani stanowić głównego/dominującego elementu zadania. Wykluczona jest odpłatna dystrybucja publikacji/nagrań towarzyszących realizacji zadania/projektu w trakcie i po jego zakończeniu.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W ramach inicjatyw nie jest możliwe finansowanie działań obejmujących część prac nad realizacją publikacji i nagrań, o których mowa w zdaniu poprzednim, w wyniku których w terminie realizacji zadania nie powstanie finalna publikacja.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8. Dokumentacja/rejestracja realizacji zadania (filmowa, dźwiękowa, zdjęciowa).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9. Scenografia i stroje: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Z wyłączeniem zakupu gotowych strojów i obuwia.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projekt,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wykonanie (w tym koszt materiałów),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 wypożyczenie.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10. Zakup biletów dla uczestników i osób związanych z realizacją zadania na przedsięwzięcia kulturalne (np. wystawy, spektakle teatralne, koncerty) stanowiące integralną część zadania.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•      bilety/FV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11. Noclegi i wyżywienie dla uczestników i osób związanych z realizacją zadania.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UWAGA! Koszt jednostkowy zakwaterowania ze środków dofinansowania nie może przekroczyć 400 zł/dobę.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12. Niezbędne ubezpieczenia.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13. Koszty promocji i kampanii informacyjnej (np. druki, ich kolportaż, zakup czasu antenowego, projekt i prowadzenie strony internetowej zadania, gadżety promujące zadanie).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Z wyłączeniem opłat za korzystanie z Internetu.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14. Zakup praw autorskich lub licencji.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Z wyłączeniem licencji na oprogramowanie systemowe.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15. Projekt i wykonanie lub zakup statuetek, dyplomów.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16. Nagrody rzeczowe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Uwaga! Podatek od nagród rzeczowych nie jest kosztem kwalifikowanym.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17. Koszt wynajęcia obiektów, pomieszczeń, przestrzeni (lokacji) na potrzeby realizacji zadania.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Obejmuje opłatę za wynajem lokalu, z wyłączeniem kosztów eksploatacji pomieszczeń (opłaty za media) i opłat administracyjnych.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Uwaga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0"/>
              </w:rPr>
              <w:t xml:space="preserve">brak możliwości  wynajmu pomieszczeń Partnera.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18. Koszty wynajmu sanitariatów, zabezpieczenia medycznego i ppoż., środki ochrony indywidualnej ograniczające prawdopodobieństwo zarażenia, ochrony, sprzątania.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Z wyłączeniem kosztów opinii i zezwoleń, koniecznych do zorganizowania wydarzenia kulturalnego.</w:t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851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5759140" cy="5715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ascii="Calibri" w:cs="Calibri" w:eastAsia="Calibri" w:hAnsi="Calibri"/>
        <w:b w:val="0"/>
        <w: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b w:val="0"/>
        <w:strike w:val="0"/>
        <w:u w:val="no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  <w:strike w:val="0"/>
        <w:u w:val="none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 w:val="0"/>
        <w:strike w:val="0"/>
        <w:u w:val="none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b w:val="0"/>
        <w:strike w:val="0"/>
        <w:u w:val="no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 w:val="0"/>
        <w:strike w:val="0"/>
        <w:u w:val="none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 w:val="0"/>
        <w:strike w:val="0"/>
        <w:u w:val="none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b w:val="0"/>
        <w:strike w:val="0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105CCC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Odwoanieprzypisukocowego">
    <w:name w:val="endnote reference"/>
    <w:uiPriority w:val="99"/>
    <w:unhideWhenUsed w:val="1"/>
    <w:rsid w:val="00105CCC"/>
    <w:rPr>
      <w:vertAlign w:val="superscript"/>
    </w:rPr>
  </w:style>
  <w:style w:type="character" w:styleId="Odwoaniedokomentarza">
    <w:name w:val="annotation reference"/>
    <w:uiPriority w:val="99"/>
    <w:unhideWhenUsed w:val="1"/>
    <w:rsid w:val="00105CCC"/>
    <w:rPr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qFormat w:val="1"/>
    <w:rsid w:val="00105CCC"/>
    <w:rPr>
      <w:rFonts w:ascii="Segoe UI" w:cs="Segoe UI" w:hAnsi="Segoe UI"/>
      <w:sz w:val="18"/>
      <w:szCs w:val="18"/>
    </w:rPr>
  </w:style>
  <w:style w:type="character" w:styleId="TekstkomentarzaZnak" w:customStyle="1">
    <w:name w:val="Tekst komentarza Znak"/>
    <w:link w:val="Tekstkomentarza"/>
    <w:uiPriority w:val="99"/>
    <w:semiHidden w:val="1"/>
    <w:rsid w:val="00105CCC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 w:val="1"/>
    <w:rsid w:val="00105CCC"/>
    <w:rPr>
      <w:b w:val="1"/>
      <w:bCs w:val="1"/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105CCC"/>
    <w:rPr>
      <w:lang w:eastAsia="en-US"/>
    </w:rPr>
  </w:style>
  <w:style w:type="paragraph" w:styleId="Tekstdymka">
    <w:name w:val="Balloon Text"/>
    <w:basedOn w:val="Normalny"/>
    <w:link w:val="TekstdymkaZnak"/>
    <w:uiPriority w:val="99"/>
    <w:unhideWhenUsed w:val="1"/>
    <w:rsid w:val="00105CCC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 w:val="1"/>
    <w:rsid w:val="00105C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 w:val="1"/>
    <w:rsid w:val="00105CCC"/>
    <w:rPr>
      <w:b w:val="1"/>
      <w:bCs w:val="1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105CCC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 w:val="1"/>
    <w:rsid w:val="00105CCC"/>
    <w:pPr>
      <w:ind w:left="720"/>
      <w:contextualSpacing w:val="1"/>
    </w:p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503AE1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503AE1"/>
    <w:rPr>
      <w:lang w:eastAsia="en-US"/>
    </w:rPr>
  </w:style>
  <w:style w:type="character" w:styleId="Odwoanieprzypisudolnego">
    <w:name w:val="footnote reference"/>
    <w:uiPriority w:val="99"/>
    <w:semiHidden w:val="1"/>
    <w:unhideWhenUsed w:val="1"/>
    <w:rsid w:val="00503AE1"/>
    <w:rPr>
      <w:vertAlign w:val="superscript"/>
    </w:rPr>
  </w:style>
  <w:style w:type="paragraph" w:styleId="Default" w:customStyle="1">
    <w:name w:val="Default"/>
    <w:rsid w:val="000415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 w:val="1"/>
    <w:uiPriority w:val="99"/>
    <w:unhideWhenUsed w:val="1"/>
    <w:rsid w:val="003B596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CA701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CA70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 w:val="1"/>
    <w:rsid w:val="00CA701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A701C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owosc@gdk.goleniow.pl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Hv3OzeGrCnq5agNy5dn/WwJ9xw==">CgMxLjAyCGguZ2pkZ3hzOAByITFfLTZoNkJENTMxUjc4Z1ZFV0dOMEFVN29kdlhtVmc5Sw==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2023-06-15T10:40:00Z</dcterms:created>
  <dc:creator>Ela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1045-11.2.0.8339</vt:lpwstr>
  </property>
</Properties>
</file>